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b w:val="1"/>
          <w:bCs w:val="1"/>
          <w:sz w:val="30"/>
          <w:szCs w:val="30"/>
          <w:rtl w:val="0"/>
        </w:rPr>
        <w:t xml:space="preserve">SPORTS BETTING &amp; NON-OPERATOR POSITION STATEMENT</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t xml:space="preserve">Document status: standalone position statement for legal, commercial, and regulatory discussions.</w:t>
      </w:r>
    </w:p>
    <w:p w:rsidR="00000000" w:rsidDel="00000000" w:rsidP="00000000" w:rsidRDefault="00000000" w:rsidRPr="00000000" w14:paraId="00000003">
      <w:pPr>
        <w:pStyle w:val="Heading1"/>
        <w:rPr/>
      </w:pPr>
      <w:r w:rsidDel="00000000" w:rsidR="00000000" w:rsidRPr="00000000">
        <w:rPr>
          <w:rtl w:val="0"/>
        </w:rPr>
        <w:t xml:space="preserve">1. Sporting Governing Body</w:t>
      </w:r>
    </w:p>
    <w:p w:rsidR="00000000" w:rsidDel="00000000" w:rsidP="00000000" w:rsidRDefault="00000000" w:rsidRPr="00000000" w14:paraId="00000004">
      <w:pPr>
        <w:rPr/>
      </w:pPr>
      <w:r w:rsidDel="00000000" w:rsidR="00000000" w:rsidRPr="00000000">
        <w:rPr>
          <w:rtl w:val="0"/>
        </w:rPr>
        <w:t xml:space="preserve">The AIB League (the “League”) is an independent sports/esports governing body responsible for organizing and regulating AIB League Events in approved Game Disciplines and Competition Types, including Duos and Models.</w:t>
      </w:r>
    </w:p>
    <w:p w:rsidR="00000000" w:rsidDel="00000000" w:rsidP="00000000" w:rsidRDefault="00000000" w:rsidRPr="00000000" w14:paraId="00000005">
      <w:pPr>
        <w:rPr/>
      </w:pPr>
      <w:r w:rsidDel="00000000" w:rsidR="00000000" w:rsidRPr="00000000">
        <w:rPr>
          <w:rtl w:val="0"/>
        </w:rPr>
        <w:t xml:space="preserve">The League governs the underlying competition ecosystem: Rulebook, Event Regulations, model certification, eligibility, official results, integrity controls, logs, dispute procedures, and disciplinary matters.</w:t>
      </w:r>
    </w:p>
    <w:p w:rsidR="00000000" w:rsidDel="00000000" w:rsidP="00000000" w:rsidRDefault="00000000" w:rsidRPr="00000000" w14:paraId="00000006">
      <w:pPr>
        <w:pStyle w:val="Heading1"/>
        <w:rPr/>
      </w:pPr>
      <w:r w:rsidDel="00000000" w:rsidR="00000000" w:rsidRPr="00000000">
        <w:rPr>
          <w:rtl w:val="0"/>
        </w:rPr>
        <w:t xml:space="preserve">2. Competition Scope</w:t>
      </w:r>
    </w:p>
    <w:p w:rsidR="00000000" w:rsidDel="00000000" w:rsidP="00000000" w:rsidRDefault="00000000" w:rsidRPr="00000000" w14:paraId="00000007">
      <w:pPr>
        <w:rPr/>
      </w:pPr>
      <w:r w:rsidDel="00000000" w:rsidR="00000000" w:rsidRPr="00000000">
        <w:rPr>
          <w:rtl w:val="0"/>
        </w:rPr>
        <w:t xml:space="preserve">This statement applies to AIB League Events across approved Game Disciplines, including Chess, Poker, Football, CS2, and later-approved disciplines. It applies to both current general Competition Types:</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Duos: Human + AI model competitions where the competing unit is an Athlete, one Prompt, and one or more certified AI Models.</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Models: model-vs-model competitions where certified AI Models compete as Model Entries under the responsibility of registered Model Entrants.</w:t>
      </w:r>
    </w:p>
    <w:p w:rsidR="00000000" w:rsidDel="00000000" w:rsidP="00000000" w:rsidRDefault="00000000" w:rsidRPr="00000000" w14:paraId="0000000A">
      <w:pPr>
        <w:pStyle w:val="Heading1"/>
        <w:rPr/>
      </w:pPr>
      <w:r w:rsidDel="00000000" w:rsidR="00000000" w:rsidRPr="00000000">
        <w:rPr>
          <w:rtl w:val="0"/>
        </w:rPr>
        <w:t xml:space="preserve">3. No Sportsbook Operations</w:t>
      </w:r>
    </w:p>
    <w:p w:rsidR="00000000" w:rsidDel="00000000" w:rsidP="00000000" w:rsidRDefault="00000000" w:rsidRPr="00000000" w14:paraId="0000000B">
      <w:pPr>
        <w:rPr/>
      </w:pPr>
      <w:r w:rsidDel="00000000" w:rsidR="00000000" w:rsidRPr="00000000">
        <w:rPr>
          <w:rtl w:val="0"/>
        </w:rPr>
        <w:t xml:space="preserve">The League is not a sportsbook, gambling operator, wagering platform, betting exchange, or customer-facing gambling service. In particular, the League:</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does not accept, offer, solicit, place, or settle bets or wagers of any kind;</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does not set, publish, or manage consumer-facing betting odds or betting lines;</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does not operate betting accounts or hold bettor funds;</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does not provide customer-facing betting or gaming services.</w:t>
      </w:r>
    </w:p>
    <w:p w:rsidR="00000000" w:rsidDel="00000000" w:rsidP="00000000" w:rsidRDefault="00000000" w:rsidRPr="00000000" w14:paraId="00000010">
      <w:pPr>
        <w:pStyle w:val="Heading1"/>
        <w:rPr/>
      </w:pPr>
      <w:r w:rsidDel="00000000" w:rsidR="00000000" w:rsidRPr="00000000">
        <w:rPr>
          <w:rtl w:val="0"/>
        </w:rPr>
        <w:t xml:space="preserve">4. Role of Licensed Betting Operators</w:t>
      </w:r>
    </w:p>
    <w:p w:rsidR="00000000" w:rsidDel="00000000" w:rsidP="00000000" w:rsidRDefault="00000000" w:rsidRPr="00000000" w14:paraId="00000011">
      <w:pPr>
        <w:rPr/>
      </w:pPr>
      <w:r w:rsidDel="00000000" w:rsidR="00000000" w:rsidRPr="00000000">
        <w:rPr>
          <w:rtl w:val="0"/>
        </w:rPr>
        <w:t xml:space="preserve">Any regulated sports betting or sports gaming products based on AIB League Events, where lawful, are created, offered, and operated solely by independent, licensed betting operators under their own licences, controls, customer terms, and regulatory obligations.</w:t>
      </w:r>
    </w:p>
    <w:p w:rsidR="00000000" w:rsidDel="00000000" w:rsidP="00000000" w:rsidRDefault="00000000" w:rsidRPr="00000000" w14:paraId="00000012">
      <w:pPr>
        <w:rPr/>
      </w:pPr>
      <w:r w:rsidDel="00000000" w:rsidR="00000000" w:rsidRPr="00000000">
        <w:rPr>
          <w:rtl w:val="0"/>
        </w:rPr>
        <w:t xml:space="preserve">No betting operator is appointed or licensed by this statement. This statement does not itself constitute a betting approval, gambling licence, event approval, legal opinion, or regulatory endorsement.</w:t>
      </w:r>
    </w:p>
    <w:p w:rsidR="00000000" w:rsidDel="00000000" w:rsidP="00000000" w:rsidRDefault="00000000" w:rsidRPr="00000000" w14:paraId="00000013">
      <w:pPr>
        <w:pStyle w:val="Heading1"/>
        <w:rPr/>
      </w:pPr>
      <w:r w:rsidDel="00000000" w:rsidR="00000000" w:rsidRPr="00000000">
        <w:rPr>
          <w:rtl w:val="0"/>
        </w:rPr>
        <w:t xml:space="preserve">5. League Role Where Regulated Betting Exists</w:t>
      </w:r>
    </w:p>
    <w:p w:rsidR="00000000" w:rsidDel="00000000" w:rsidP="00000000" w:rsidRDefault="00000000" w:rsidRPr="00000000" w14:paraId="00000014">
      <w:pPr>
        <w:rPr/>
      </w:pPr>
      <w:r w:rsidDel="00000000" w:rsidR="00000000" w:rsidRPr="00000000">
        <w:rPr>
          <w:rtl w:val="0"/>
        </w:rPr>
        <w:t xml:space="preserve">Where regulated betting is lawfully offered by a licensed operator on AIB League Events, the League’s role is limited to the underlying sport/esports and integrity layer, which may include:</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governing and delivering the underlying Events;</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publishing or maintaining official rules, formats, and result procedures;</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providing official Event data and feeds where lawful and separately agreed;</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providing integrity monitoring, suspicious activity alerts, technical logs, and cooperation with licensed operators or regulators, subject to law and contract.</w:t>
      </w:r>
    </w:p>
    <w:p w:rsidR="00000000" w:rsidDel="00000000" w:rsidP="00000000" w:rsidRDefault="00000000" w:rsidRPr="00000000" w14:paraId="00000019">
      <w:pPr>
        <w:pStyle w:val="Heading1"/>
        <w:rPr/>
      </w:pPr>
      <w:r w:rsidDel="00000000" w:rsidR="00000000" w:rsidRPr="00000000">
        <w:rPr>
          <w:rtl w:val="0"/>
        </w:rPr>
        <w:t xml:space="preserve">6. Integrity First</w:t>
      </w:r>
    </w:p>
    <w:p w:rsidR="00000000" w:rsidDel="00000000" w:rsidP="00000000" w:rsidRDefault="00000000" w:rsidRPr="00000000" w14:paraId="0000001A">
      <w:pPr>
        <w:rPr/>
      </w:pPr>
      <w:r w:rsidDel="00000000" w:rsidR="00000000" w:rsidRPr="00000000">
        <w:rPr>
          <w:rtl w:val="0"/>
        </w:rPr>
        <w:t xml:space="preserve">The League’s primary responsibility is to protect the integrity and fairness of AIB League competitions. This includes clear Event rules, certified or approved technical setups, logs, official records, anti-cheating controls, anti-corruption rules, and disciplinary procedures.</w:t>
      </w:r>
    </w:p>
    <w:p w:rsidR="00000000" w:rsidDel="00000000" w:rsidP="00000000" w:rsidRDefault="00000000" w:rsidRPr="00000000" w14:paraId="0000001B">
      <w:pPr>
        <w:rPr/>
      </w:pPr>
      <w:r w:rsidDel="00000000" w:rsidR="00000000" w:rsidRPr="00000000">
        <w:rPr>
          <w:rtl w:val="0"/>
        </w:rPr>
        <w:t xml:space="preserve">The League’s involvement in any data or integrity cooperation must not alter competition results, eligibility decisions, sanctions, model certification decisions, or prize allocation.</w:t>
      </w:r>
    </w:p>
    <w:p w:rsidR="00000000" w:rsidDel="00000000" w:rsidP="00000000" w:rsidRDefault="00000000" w:rsidRPr="00000000" w14:paraId="0000001C">
      <w:pPr>
        <w:pStyle w:val="Heading1"/>
        <w:rPr/>
      </w:pPr>
      <w:r w:rsidDel="00000000" w:rsidR="00000000" w:rsidRPr="00000000">
        <w:rPr>
          <w:rtl w:val="0"/>
        </w:rPr>
        <w:t xml:space="preserve">7. No Alteration of Local Classification</w:t>
      </w:r>
    </w:p>
    <w:p w:rsidR="00000000" w:rsidDel="00000000" w:rsidP="00000000" w:rsidRDefault="00000000" w:rsidRPr="00000000" w14:paraId="0000001D">
      <w:pPr>
        <w:rPr/>
      </w:pPr>
      <w:r w:rsidDel="00000000" w:rsidR="00000000" w:rsidRPr="00000000">
        <w:rPr>
          <w:rtl w:val="0"/>
        </w:rPr>
        <w:t xml:space="preserve">This statement does not determine the legal classification of any betting operator, data recipient, supplier, partner, or Event in any jurisdiction. Each party must obtain its own legal and regulatory advice. The statement is intended only to clarify the League’s own role: it governs competitions and does not conduct customer-facing sportsbook or wagering operations.</w:t>
      </w:r>
    </w:p>
    <w:sectPr>
      <w:pgSz w:h="15840" w:w="12240" w:orient="portrait"/>
      <w:pgMar w:bottom="1080" w:top="1080" w:left="1152" w:right="115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1"/>
        <w:szCs w:val="21"/>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Arial" w:cs="Arial" w:eastAsia="Arial" w:hAnsi="Arial"/>
      <w:b w:val="1"/>
      <w:bCs w:val="1"/>
      <w:color w:val="366091"/>
      <w:sz w:val="28"/>
      <w:szCs w:val="28"/>
    </w:rPr>
  </w:style>
  <w:style w:type="paragraph" w:styleId="Heading2">
    <w:name w:val="heading 2"/>
    <w:basedOn w:val="Normal"/>
    <w:next w:val="Normal"/>
    <w:pPr>
      <w:keepNext w:val="1"/>
      <w:keepLines w:val="1"/>
      <w:spacing w:after="0" w:before="200" w:lineRule="auto"/>
    </w:pPr>
    <w:rPr>
      <w:rFonts w:ascii="Arial" w:cs="Arial" w:eastAsia="Arial" w:hAnsi="Arial"/>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Arial" w:cs="Arial" w:eastAsia="Arial" w:hAnsi="Arial"/>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