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/>
      </w:pPr>
      <w:bookmarkStart w:colFirst="0" w:colLast="0" w:name="_wsh584k7r98m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SECURITY CONTROLS 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document provides a high-level overview of the technical and organizational security measures used by the AIB League (the “League”) in relation to personal data and integrity logs.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intended for regulators, licensed betting operators, and other partners. More detailed information can be provided under NDA where appropriate.</w:t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  <w:t xml:space="preserve">Competition structure context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For avoidance of doubt, this document applies across AIB League Events in both Duos and Models formats and across approved Game Disciplines, including Chess, Poker, Football, CS2, and any later-approved disciplines. Duos involve an Athlete, one Prompt, and one or more certified AI Models. Models involve certified AI Model entries under the responsibility of registered Model Entrants.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6zr0jvhhhkp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Governance &amp; Policies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League maintains internal </w:t>
      </w:r>
      <w:r w:rsidDel="00000000" w:rsidR="00000000" w:rsidRPr="00000000">
        <w:rPr>
          <w:b w:val="1"/>
          <w:bCs w:val="1"/>
          <w:rtl w:val="0"/>
        </w:rPr>
        <w:t xml:space="preserve">information security policies</w:t>
      </w:r>
      <w:r w:rsidDel="00000000" w:rsidR="00000000" w:rsidRPr="00000000">
        <w:rPr>
          <w:rtl w:val="0"/>
        </w:rPr>
        <w:t xml:space="preserve"> covering access control, data handling, incident response, and vendor management.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Roles and responsibilities for security and integrity (e.g., security lead, Integrity &amp; Fair Play Unit) are clearly defined.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Staff with access to sensitive data receive </w:t>
      </w:r>
      <w:r w:rsidDel="00000000" w:rsidR="00000000" w:rsidRPr="00000000">
        <w:rPr>
          <w:b w:val="1"/>
          <w:bCs w:val="1"/>
          <w:rtl w:val="0"/>
        </w:rPr>
        <w:t xml:space="preserve">periodic training</w:t>
      </w:r>
      <w:r w:rsidDel="00000000" w:rsidR="00000000" w:rsidRPr="00000000">
        <w:rPr>
          <w:rtl w:val="0"/>
        </w:rPr>
        <w:t xml:space="preserve"> on security, privacy, and integrity.</w:t>
        <w:br w:type="textWrapping"/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g0h8fe3watj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Access Control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Access to production systems and databases is restricted on a </w:t>
      </w:r>
      <w:r w:rsidDel="00000000" w:rsidR="00000000" w:rsidRPr="00000000">
        <w:rPr>
          <w:b w:val="1"/>
          <w:bCs w:val="1"/>
          <w:rtl w:val="0"/>
        </w:rPr>
        <w:t xml:space="preserve">need-to-know, role-based</w:t>
      </w:r>
      <w:r w:rsidDel="00000000" w:rsidR="00000000" w:rsidRPr="00000000">
        <w:rPr>
          <w:rtl w:val="0"/>
        </w:rPr>
        <w:t xml:space="preserve"> basis.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Strong authentication is required for administrative access (e.g., multi-factor authentication where feasible).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Access rights are regularly reviewed and revoked when no longer required.</w:t>
        <w:br w:type="textWrapping"/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8q8mlz17a9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Data Protection in Transit and at Rest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Data transmitted over public networks is protected by </w:t>
      </w:r>
      <w:r w:rsidDel="00000000" w:rsidR="00000000" w:rsidRPr="00000000">
        <w:rPr>
          <w:b w:val="1"/>
          <w:bCs w:val="1"/>
          <w:rtl w:val="0"/>
        </w:rPr>
        <w:t xml:space="preserve">TLS/HTTPS</w:t>
      </w:r>
      <w:r w:rsidDel="00000000" w:rsidR="00000000" w:rsidRPr="00000000">
        <w:rPr>
          <w:rtl w:val="0"/>
        </w:rPr>
        <w:t xml:space="preserve"> or equivalent encryption.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Sensitive data at rest (e.g., KYC documents, integrity logs, backups) is stored using </w:t>
      </w:r>
      <w:r w:rsidDel="00000000" w:rsidR="00000000" w:rsidRPr="00000000">
        <w:rPr>
          <w:b w:val="1"/>
          <w:bCs w:val="1"/>
          <w:rtl w:val="0"/>
        </w:rPr>
        <w:t xml:space="preserve">industry-standard encryption</w:t>
      </w:r>
      <w:r w:rsidDel="00000000" w:rsidR="00000000" w:rsidRPr="00000000">
        <w:rPr>
          <w:rtl w:val="0"/>
        </w:rPr>
        <w:t xml:space="preserve"> where appropriate.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Backups are protected against unauthorized access and tested periodically for restorability.</w:t>
        <w:br w:type="textWrapping"/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3jbnmdolabk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Logging, Monitoring, and Audit Trails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League’s platforms generate </w:t>
      </w:r>
      <w:r w:rsidDel="00000000" w:rsidR="00000000" w:rsidRPr="00000000">
        <w:rPr>
          <w:b w:val="1"/>
          <w:bCs w:val="1"/>
          <w:rtl w:val="0"/>
        </w:rPr>
        <w:t xml:space="preserve">detailed logs</w:t>
      </w:r>
      <w:r w:rsidDel="00000000" w:rsidR="00000000" w:rsidRPr="00000000">
        <w:rPr>
          <w:rtl w:val="0"/>
        </w:rPr>
        <w:t xml:space="preserve"> of:</w:t>
        <w:br w:type="textWrapping"/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Game events and moves;</w:t>
        <w:br w:type="textWrapping"/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AI usage (prompts, configs, model IDs);</w:t>
        <w:br w:type="textWrapping"/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System events relevant to integrity and security.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Logs are timestamped, protected against tampering, and retained according to the </w:t>
      </w:r>
      <w:r w:rsidDel="00000000" w:rsidR="00000000" w:rsidRPr="00000000">
        <w:rPr>
          <w:b w:val="1"/>
          <w:bCs w:val="1"/>
          <w:rtl w:val="0"/>
        </w:rPr>
        <w:t xml:space="preserve">Data Retention &amp; Logging Schedule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Security and integrity logs are monitored for anomalies and may trigger alerts and investigations.</w:t>
        <w:br w:type="textWrapping"/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pl8x6i3ncb8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Application and Infrastructure Security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League uses reputable cloud and hosting providers with robust physical and infrastructure security.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Changes to production systems follow a </w:t>
      </w:r>
      <w:r w:rsidDel="00000000" w:rsidR="00000000" w:rsidRPr="00000000">
        <w:rPr>
          <w:b w:val="1"/>
          <w:bCs w:val="1"/>
          <w:rtl w:val="0"/>
        </w:rPr>
        <w:t xml:space="preserve">change management process</w:t>
      </w:r>
      <w:r w:rsidDel="00000000" w:rsidR="00000000" w:rsidRPr="00000000">
        <w:rPr>
          <w:rtl w:val="0"/>
        </w:rPr>
        <w:t xml:space="preserve"> (review, testing, deployment).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Application security practices include:</w:t>
        <w:br w:type="textWrapping"/>
      </w:r>
    </w:p>
    <w:p w:rsidR="00000000" w:rsidDel="00000000" w:rsidP="00000000" w:rsidRDefault="00000000" w:rsidRPr="00000000" w14:paraId="00000022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Regular dependency updates;</w:t>
        <w:br w:type="textWrapping"/>
      </w:r>
    </w:p>
    <w:p w:rsidR="00000000" w:rsidDel="00000000" w:rsidP="00000000" w:rsidRDefault="00000000" w:rsidRPr="00000000" w14:paraId="00000023">
      <w:pPr>
        <w:numPr>
          <w:ilvl w:val="1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Basic secure coding practices;</w:t>
        <w:br w:type="textWrapping"/>
      </w:r>
    </w:p>
    <w:p w:rsidR="00000000" w:rsidDel="00000000" w:rsidP="00000000" w:rsidRDefault="00000000" w:rsidRPr="00000000" w14:paraId="00000024">
      <w:pPr>
        <w:numPr>
          <w:ilvl w:val="1"/>
          <w:numId w:val="5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Use of staging environments for testing changes.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vk3uk4qoeom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6. Incident Response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League maintains an </w:t>
      </w:r>
      <w:r w:rsidDel="00000000" w:rsidR="00000000" w:rsidRPr="00000000">
        <w:rPr>
          <w:b w:val="1"/>
          <w:bCs w:val="1"/>
          <w:rtl w:val="0"/>
        </w:rPr>
        <w:t xml:space="preserve">incident response process</w:t>
      </w:r>
      <w:r w:rsidDel="00000000" w:rsidR="00000000" w:rsidRPr="00000000">
        <w:rPr>
          <w:rtl w:val="0"/>
        </w:rPr>
        <w:t xml:space="preserve"> to:</w:t>
        <w:br w:type="textWrapping"/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Detect and classify incidents;</w:t>
        <w:br w:type="textWrapping"/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Contain and remediate issues;</w:t>
        <w:br w:type="textWrapping"/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Communicate with affected partners and authorities where required.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Security and data incidents are logged and reviewed to improve controls.</w:t>
        <w:br w:type="textWrapping"/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x6rfn66nu9k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7. Vendor &amp; Sub-Processor Management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Third-party providers (hosting, analytics, KYC, payments, integrity tools) are subject to </w:t>
      </w:r>
      <w:r w:rsidDel="00000000" w:rsidR="00000000" w:rsidRPr="00000000">
        <w:rPr>
          <w:b w:val="1"/>
          <w:bCs w:val="1"/>
          <w:rtl w:val="0"/>
        </w:rPr>
        <w:t xml:space="preserve">contractual security and confidentiality obligations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Where these providers process personal data on our behalf, we implement appropriate </w:t>
      </w:r>
      <w:r w:rsidDel="00000000" w:rsidR="00000000" w:rsidRPr="00000000">
        <w:rPr>
          <w:b w:val="1"/>
          <w:bCs w:val="1"/>
          <w:rtl w:val="0"/>
        </w:rPr>
        <w:t xml:space="preserve">data processing agreements</w:t>
      </w:r>
      <w:r w:rsidDel="00000000" w:rsidR="00000000" w:rsidRPr="00000000">
        <w:rPr>
          <w:rtl w:val="0"/>
        </w:rPr>
        <w:t xml:space="preserve"> and transfer safeguards (for cross-border transfers).</w:t>
        <w:br w:type="textWrapping"/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6spbwa8eybg" w:id="8"/>
      <w:bookmarkEnd w:id="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8. Continuous Improvement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Security and integrity controls are reviewed periodically, especially as:</w:t>
        <w:br w:type="textWrapping"/>
      </w:r>
    </w:p>
    <w:p w:rsidR="00000000" w:rsidDel="00000000" w:rsidP="00000000" w:rsidRDefault="00000000" w:rsidRPr="00000000" w14:paraId="00000033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AI technologies evolve;</w:t>
        <w:br w:type="textWrapping"/>
      </w:r>
    </w:p>
    <w:p w:rsidR="00000000" w:rsidDel="00000000" w:rsidP="00000000" w:rsidRDefault="00000000" w:rsidRPr="00000000" w14:paraId="00000034">
      <w:pPr>
        <w:numPr>
          <w:ilvl w:val="1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New regulatory or industry standards emerge;</w:t>
        <w:br w:type="textWrapping"/>
      </w:r>
    </w:p>
    <w:p w:rsidR="00000000" w:rsidDel="00000000" w:rsidP="00000000" w:rsidRDefault="00000000" w:rsidRPr="00000000" w14:paraId="00000035">
      <w:pPr>
        <w:numPr>
          <w:ilvl w:val="1"/>
          <w:numId w:val="6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New threats or incidents are identified.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