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b w:val="1"/>
          <w:bCs w:val="1"/>
          <w:color w:val="000000"/>
          <w:sz w:val="26"/>
          <w:szCs w:val="26"/>
        </w:rPr>
      </w:pPr>
      <w:bookmarkStart w:colFirst="0" w:colLast="0" w:name="_6tvhrnoai9cz" w:id="0"/>
      <w:bookmarkEnd w:id="0"/>
      <w:r w:rsidDel="00000000" w:rsidR="00000000" w:rsidRPr="00000000">
        <w:rPr>
          <w:b w:val="1"/>
          <w:bCs w:val="1"/>
          <w:color w:val="000000"/>
          <w:sz w:val="26"/>
          <w:szCs w:val="26"/>
          <w:rtl w:val="0"/>
        </w:rPr>
        <w:t xml:space="preserve">DATA PROCESSING &amp; SECURITY ADDENDUM (TEMPLATE)</w:t>
      </w:r>
    </w:p>
    <w:p w:rsidR="00000000" w:rsidDel="00000000" w:rsidP="00000000" w:rsidRDefault="00000000" w:rsidRPr="00000000" w14:paraId="00000002">
      <w:pPr>
        <w:spacing w:after="240" w:before="240" w:lineRule="auto"/>
        <w:rPr/>
      </w:pPr>
      <w:r w:rsidDel="00000000" w:rsidR="00000000" w:rsidRPr="00000000">
        <w:rPr>
          <w:rtl w:val="0"/>
        </w:rPr>
        <w:t xml:space="preserve">This Data Processing &amp; Security Addendum (“Addendum”) forms part of the [Master Services Agreement / Data &amp; Integrity Agreement] (“Agreement”) between:</w:t>
      </w:r>
    </w:p>
    <w:p w:rsidR="00000000" w:rsidDel="00000000" w:rsidP="00000000" w:rsidRDefault="00000000" w:rsidRPr="00000000" w14:paraId="00000003">
      <w:pPr>
        <w:spacing w:after="240" w:before="240" w:lineRule="auto"/>
        <w:ind w:left="0" w:firstLine="0"/>
        <w:rPr/>
      </w:pPr>
      <w:r w:rsidDel="00000000" w:rsidR="00000000" w:rsidRPr="00000000">
        <w:rPr>
          <w:rtl w:val="0"/>
        </w:rPr>
        <w:t xml:space="preserve">AIBLEAGUE LTD, HE 495469, Promachon Eleftherias, 1, 1st floor, Flat/Office 18/19, Agios Athanasios, 4103, Limassol, Cyprus</w:t>
      </w:r>
    </w:p>
    <w:p w:rsidR="00000000" w:rsidDel="00000000" w:rsidP="00000000" w:rsidRDefault="00000000" w:rsidRPr="00000000" w14:paraId="00000004">
      <w:pPr>
        <w:spacing w:after="240" w:before="240" w:lineRule="auto"/>
        <w:ind w:left="0" w:firstLine="0"/>
        <w:rPr/>
      </w:pPr>
      <w:r w:rsidDel="00000000" w:rsidR="00000000" w:rsidRPr="00000000">
        <w:rPr>
          <w:rtl w:val="0"/>
        </w:rPr>
        <w:t xml:space="preserve">and </w:t>
      </w:r>
    </w:p>
    <w:p w:rsidR="00000000" w:rsidDel="00000000" w:rsidP="00000000" w:rsidRDefault="00000000" w:rsidRPr="00000000" w14:paraId="00000005">
      <w:pPr>
        <w:spacing w:after="240" w:before="240" w:lineRule="auto"/>
        <w:ind w:left="0" w:firstLine="0"/>
        <w:rPr/>
      </w:pPr>
      <w:r w:rsidDel="00000000" w:rsidR="00000000" w:rsidRPr="00000000">
        <w:rPr>
          <w:rtl w:val="0"/>
        </w:rPr>
        <w:t xml:space="preserve">[____]</w:t>
      </w:r>
      <w:r w:rsidDel="00000000" w:rsidR="00000000" w:rsidRPr="00000000">
        <w:rPr>
          <w:rtl w:val="0"/>
        </w:rPr>
      </w:r>
    </w:p>
    <w:p w:rsidR="00000000" w:rsidDel="00000000" w:rsidP="00000000" w:rsidRDefault="00000000" w:rsidRPr="00000000" w14:paraId="00000006">
      <w:pPr>
        <w:spacing w:after="240" w:before="240" w:lineRule="auto"/>
        <w:rPr/>
      </w:pPr>
      <w:r w:rsidDel="00000000" w:rsidR="00000000" w:rsidRPr="00000000">
        <w:rPr>
          <w:rtl w:val="0"/>
        </w:rPr>
        <w:t xml:space="preserve">(each a “Party”, together the “Parties”).</w:t>
      </w:r>
    </w:p>
    <w:p w:rsidR="00000000" w:rsidDel="00000000" w:rsidP="00000000" w:rsidRDefault="00000000" w:rsidRPr="00000000" w14:paraId="00000007">
      <w:pPr>
        <w:spacing w:after="240" w:before="240" w:lineRule="auto"/>
        <w:rPr/>
      </w:pPr>
      <w:r w:rsidDel="00000000" w:rsidR="00000000" w:rsidRPr="00000000">
        <w:rPr>
          <w:rtl w:val="0"/>
        </w:rPr>
        <w:t xml:space="preserve">Where the League or Partner processes personal data on behalf of the other Party in connection with the Agreement, this Addendum applies.</w:t>
      </w:r>
    </w:p>
    <w:p w:rsidR="00000000" w:rsidDel="00000000" w:rsidP="00000000" w:rsidRDefault="00000000" w:rsidRPr="00000000" w14:paraId="00000008">
      <w:pPr>
        <w:pStyle w:val="Heading1"/>
        <w:rPr/>
      </w:pPr>
      <w:r w:rsidDel="00000000" w:rsidR="00000000" w:rsidRPr="00000000">
        <w:rPr>
          <w:rtl w:val="0"/>
        </w:rPr>
        <w:t xml:space="preserve">Competition structure context</w:t>
      </w:r>
    </w:p>
    <w:p w:rsidR="00000000" w:rsidDel="00000000" w:rsidP="00000000" w:rsidRDefault="00000000" w:rsidRPr="00000000" w14:paraId="00000009">
      <w:pPr>
        <w:rPr/>
      </w:pPr>
      <w:r w:rsidDel="00000000" w:rsidR="00000000" w:rsidRPr="00000000">
        <w:rPr>
          <w:rtl w:val="0"/>
        </w:rPr>
        <w:t xml:space="preserve">For avoidance of doubt, this document applies across AIB League Events in both Duos and Models formats and across approved Game Disciplines, including Chess, Poker, Football, CS2, and any later-approved disciplines. Duos involve an Athlete, one Prompt, and one or more certified AI Models. Models involve certified AI Model entries under the responsibility of registered Model Entrants.</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4"/>
        <w:keepNext w:val="0"/>
        <w:keepLines w:val="0"/>
        <w:spacing w:after="40" w:before="240" w:lineRule="auto"/>
        <w:rPr>
          <w:b w:val="1"/>
          <w:bCs w:val="1"/>
          <w:color w:val="000000"/>
          <w:sz w:val="22"/>
          <w:szCs w:val="22"/>
        </w:rPr>
      </w:pPr>
      <w:bookmarkStart w:colFirst="0" w:colLast="0" w:name="_lpnvh3zatjbe" w:id="1"/>
      <w:bookmarkEnd w:id="1"/>
      <w:r w:rsidDel="00000000" w:rsidR="00000000" w:rsidRPr="00000000">
        <w:rPr>
          <w:b w:val="1"/>
          <w:bCs w:val="1"/>
          <w:color w:val="000000"/>
          <w:sz w:val="22"/>
          <w:szCs w:val="22"/>
          <w:rtl w:val="0"/>
        </w:rPr>
        <w:t xml:space="preserve">1. Roles of the Parties</w:t>
      </w:r>
    </w:p>
    <w:p w:rsidR="00000000" w:rsidDel="00000000" w:rsidP="00000000" w:rsidRDefault="00000000" w:rsidRPr="00000000" w14:paraId="0000000C">
      <w:pPr>
        <w:spacing w:after="240" w:before="240" w:lineRule="auto"/>
        <w:rPr/>
      </w:pPr>
      <w:r w:rsidDel="00000000" w:rsidR="00000000" w:rsidRPr="00000000">
        <w:rPr>
          <w:rtl w:val="0"/>
        </w:rPr>
        <w:t xml:space="preserve">1.1 The Parties acknowledge that, in most cases, each acts as an </w:t>
      </w:r>
      <w:r w:rsidDel="00000000" w:rsidR="00000000" w:rsidRPr="00000000">
        <w:rPr>
          <w:b w:val="1"/>
          <w:bCs w:val="1"/>
          <w:rtl w:val="0"/>
        </w:rPr>
        <w:t xml:space="preserve">independent data controller</w:t>
      </w:r>
      <w:r w:rsidDel="00000000" w:rsidR="00000000" w:rsidRPr="00000000">
        <w:rPr>
          <w:rtl w:val="0"/>
        </w:rPr>
        <w:t xml:space="preserve"> with respect to the personal data it processes for its own purposes (e.g., League for competition integrity; Partner for customer accounts and betting operations).</w:t>
      </w:r>
    </w:p>
    <w:p w:rsidR="00000000" w:rsidDel="00000000" w:rsidP="00000000" w:rsidRDefault="00000000" w:rsidRPr="00000000" w14:paraId="0000000D">
      <w:pPr>
        <w:spacing w:after="240" w:before="240" w:lineRule="auto"/>
        <w:rPr/>
      </w:pPr>
      <w:r w:rsidDel="00000000" w:rsidR="00000000" w:rsidRPr="00000000">
        <w:rPr>
          <w:rtl w:val="0"/>
        </w:rPr>
        <w:t xml:space="preserve">1.2 Where one Party processes personal data </w:t>
      </w:r>
      <w:r w:rsidDel="00000000" w:rsidR="00000000" w:rsidRPr="00000000">
        <w:rPr>
          <w:b w:val="1"/>
          <w:bCs w:val="1"/>
          <w:rtl w:val="0"/>
        </w:rPr>
        <w:t xml:space="preserve">on behalf of</w:t>
      </w:r>
      <w:r w:rsidDel="00000000" w:rsidR="00000000" w:rsidRPr="00000000">
        <w:rPr>
          <w:rtl w:val="0"/>
        </w:rPr>
        <w:t xml:space="preserve"> the other Party (the “Controller”), it acts as a </w:t>
      </w:r>
      <w:r w:rsidDel="00000000" w:rsidR="00000000" w:rsidRPr="00000000">
        <w:rPr>
          <w:b w:val="1"/>
          <w:bCs w:val="1"/>
          <w:rtl w:val="0"/>
        </w:rPr>
        <w:t xml:space="preserve">processor</w:t>
      </w:r>
      <w:r w:rsidDel="00000000" w:rsidR="00000000" w:rsidRPr="00000000">
        <w:rPr>
          <w:rtl w:val="0"/>
        </w:rPr>
        <w:t xml:space="preserve"> under applicable data protection law. In such cases, this Addendum sets out the minimum terms required.</w:t>
      </w:r>
    </w:p>
    <w:p w:rsidR="00000000" w:rsidDel="00000000" w:rsidP="00000000" w:rsidRDefault="00000000" w:rsidRPr="00000000" w14:paraId="0000000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4"/>
        <w:keepNext w:val="0"/>
        <w:keepLines w:val="0"/>
        <w:spacing w:after="40" w:before="240" w:lineRule="auto"/>
        <w:rPr>
          <w:b w:val="1"/>
          <w:bCs w:val="1"/>
          <w:color w:val="000000"/>
          <w:sz w:val="22"/>
          <w:szCs w:val="22"/>
        </w:rPr>
      </w:pPr>
      <w:bookmarkStart w:colFirst="0" w:colLast="0" w:name="_n3ikkvyia8lf" w:id="2"/>
      <w:bookmarkEnd w:id="2"/>
      <w:r w:rsidDel="00000000" w:rsidR="00000000" w:rsidRPr="00000000">
        <w:rPr>
          <w:b w:val="1"/>
          <w:bCs w:val="1"/>
          <w:color w:val="000000"/>
          <w:sz w:val="22"/>
          <w:szCs w:val="22"/>
          <w:rtl w:val="0"/>
        </w:rPr>
        <w:t xml:space="preserve">2. Subject Matter and Purpose</w:t>
      </w:r>
    </w:p>
    <w:p w:rsidR="00000000" w:rsidDel="00000000" w:rsidP="00000000" w:rsidRDefault="00000000" w:rsidRPr="00000000" w14:paraId="00000010">
      <w:pPr>
        <w:spacing w:after="240" w:before="240" w:lineRule="auto"/>
        <w:rPr/>
      </w:pPr>
      <w:r w:rsidDel="00000000" w:rsidR="00000000" w:rsidRPr="00000000">
        <w:rPr>
          <w:rtl w:val="0"/>
        </w:rPr>
        <w:t xml:space="preserve">2.1 The subject matter of the processing under this Addendum is limited to personal data processed under the Agreement, such as:</w:t>
      </w:r>
    </w:p>
    <w:p w:rsidR="00000000" w:rsidDel="00000000" w:rsidP="00000000" w:rsidRDefault="00000000" w:rsidRPr="00000000" w14:paraId="00000011">
      <w:pPr>
        <w:numPr>
          <w:ilvl w:val="0"/>
          <w:numId w:val="1"/>
        </w:numPr>
        <w:spacing w:after="0" w:before="240" w:lineRule="auto"/>
        <w:ind w:left="720" w:hanging="360"/>
        <w:rPr/>
      </w:pPr>
      <w:r w:rsidDel="00000000" w:rsidR="00000000" w:rsidRPr="00000000">
        <w:rPr>
          <w:rtl w:val="0"/>
        </w:rPr>
        <w:t xml:space="preserve">Game and Event data, integrity logs, technical data;</w:t>
        <w:br w:type="textWrapping"/>
      </w:r>
    </w:p>
    <w:p w:rsidR="00000000" w:rsidDel="00000000" w:rsidP="00000000" w:rsidRDefault="00000000" w:rsidRPr="00000000" w14:paraId="00000012">
      <w:pPr>
        <w:numPr>
          <w:ilvl w:val="0"/>
          <w:numId w:val="1"/>
        </w:numPr>
        <w:spacing w:after="0" w:before="0" w:lineRule="auto"/>
        <w:ind w:left="720" w:hanging="360"/>
        <w:rPr/>
      </w:pPr>
      <w:r w:rsidDel="00000000" w:rsidR="00000000" w:rsidRPr="00000000">
        <w:rPr>
          <w:rtl w:val="0"/>
        </w:rPr>
        <w:t xml:space="preserve">Limited identifiers of Athletes or other data subjects (as agreed);</w:t>
        <w:br w:type="textWrapping"/>
      </w:r>
    </w:p>
    <w:p w:rsidR="00000000" w:rsidDel="00000000" w:rsidP="00000000" w:rsidRDefault="00000000" w:rsidRPr="00000000" w14:paraId="00000013">
      <w:pPr>
        <w:numPr>
          <w:ilvl w:val="0"/>
          <w:numId w:val="1"/>
        </w:numPr>
        <w:spacing w:after="240" w:before="0" w:lineRule="auto"/>
        <w:ind w:left="720" w:hanging="360"/>
        <w:rPr/>
      </w:pPr>
      <w:r w:rsidDel="00000000" w:rsidR="00000000" w:rsidRPr="00000000">
        <w:rPr>
          <w:rtl w:val="0"/>
        </w:rPr>
        <w:t xml:space="preserve">Other data categories explicitly described in the Agreement or relevant annex.</w:t>
        <w:br w:type="textWrapping"/>
      </w:r>
    </w:p>
    <w:p w:rsidR="00000000" w:rsidDel="00000000" w:rsidP="00000000" w:rsidRDefault="00000000" w:rsidRPr="00000000" w14:paraId="00000014">
      <w:pPr>
        <w:spacing w:after="240" w:before="240" w:lineRule="auto"/>
        <w:rPr/>
      </w:pPr>
      <w:r w:rsidDel="00000000" w:rsidR="00000000" w:rsidRPr="00000000">
        <w:rPr>
          <w:rtl w:val="0"/>
        </w:rPr>
        <w:t xml:space="preserve">2.2 Processing is carried out solely for the purposes described in the Agreement (e.g., provisioning of official data feeds, integrity monitoring, regulatory reporting) and not for any unrelated purpose.</w:t>
      </w:r>
    </w:p>
    <w:p w:rsidR="00000000" w:rsidDel="00000000" w:rsidP="00000000" w:rsidRDefault="00000000" w:rsidRPr="00000000" w14:paraId="0000001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pStyle w:val="Heading4"/>
        <w:keepNext w:val="0"/>
        <w:keepLines w:val="0"/>
        <w:spacing w:after="40" w:before="240" w:lineRule="auto"/>
        <w:rPr>
          <w:b w:val="1"/>
          <w:bCs w:val="1"/>
          <w:color w:val="000000"/>
          <w:sz w:val="22"/>
          <w:szCs w:val="22"/>
        </w:rPr>
      </w:pPr>
      <w:bookmarkStart w:colFirst="0" w:colLast="0" w:name="_qoygkwmeajta" w:id="3"/>
      <w:bookmarkEnd w:id="3"/>
      <w:r w:rsidDel="00000000" w:rsidR="00000000" w:rsidRPr="00000000">
        <w:rPr>
          <w:b w:val="1"/>
          <w:bCs w:val="1"/>
          <w:color w:val="000000"/>
          <w:sz w:val="22"/>
          <w:szCs w:val="22"/>
          <w:rtl w:val="0"/>
        </w:rPr>
        <w:t xml:space="preserve">3. Instructions</w:t>
      </w:r>
    </w:p>
    <w:p w:rsidR="00000000" w:rsidDel="00000000" w:rsidP="00000000" w:rsidRDefault="00000000" w:rsidRPr="00000000" w14:paraId="00000017">
      <w:pPr>
        <w:spacing w:after="240" w:before="240" w:lineRule="auto"/>
        <w:rPr/>
      </w:pPr>
      <w:r w:rsidDel="00000000" w:rsidR="00000000" w:rsidRPr="00000000">
        <w:rPr>
          <w:rtl w:val="0"/>
        </w:rPr>
        <w:t xml:space="preserve">3.1 The Processor shall process personal data only:</w:t>
      </w:r>
    </w:p>
    <w:p w:rsidR="00000000" w:rsidDel="00000000" w:rsidP="00000000" w:rsidRDefault="00000000" w:rsidRPr="00000000" w14:paraId="00000018">
      <w:pPr>
        <w:numPr>
          <w:ilvl w:val="0"/>
          <w:numId w:val="5"/>
        </w:numPr>
        <w:spacing w:after="0" w:before="240" w:lineRule="auto"/>
        <w:ind w:left="720" w:hanging="360"/>
        <w:rPr/>
      </w:pPr>
      <w:r w:rsidDel="00000000" w:rsidR="00000000" w:rsidRPr="00000000">
        <w:rPr>
          <w:rtl w:val="0"/>
        </w:rPr>
        <w:t xml:space="preserve">On documented instructions from the Controller;</w:t>
        <w:br w:type="textWrapping"/>
      </w:r>
    </w:p>
    <w:p w:rsidR="00000000" w:rsidDel="00000000" w:rsidP="00000000" w:rsidRDefault="00000000" w:rsidRPr="00000000" w14:paraId="00000019">
      <w:pPr>
        <w:numPr>
          <w:ilvl w:val="0"/>
          <w:numId w:val="5"/>
        </w:numPr>
        <w:spacing w:after="0" w:before="0" w:lineRule="auto"/>
        <w:ind w:left="720" w:hanging="360"/>
        <w:rPr/>
      </w:pPr>
      <w:r w:rsidDel="00000000" w:rsidR="00000000" w:rsidRPr="00000000">
        <w:rPr>
          <w:rtl w:val="0"/>
        </w:rPr>
        <w:t xml:space="preserve">As necessary to perform obligations under the Agreement;</w:t>
        <w:br w:type="textWrapping"/>
      </w:r>
    </w:p>
    <w:p w:rsidR="00000000" w:rsidDel="00000000" w:rsidP="00000000" w:rsidRDefault="00000000" w:rsidRPr="00000000" w14:paraId="0000001A">
      <w:pPr>
        <w:numPr>
          <w:ilvl w:val="0"/>
          <w:numId w:val="5"/>
        </w:numPr>
        <w:spacing w:after="240" w:before="0" w:lineRule="auto"/>
        <w:ind w:left="720" w:hanging="360"/>
        <w:rPr/>
      </w:pPr>
      <w:r w:rsidDel="00000000" w:rsidR="00000000" w:rsidRPr="00000000">
        <w:rPr>
          <w:rtl w:val="0"/>
        </w:rPr>
        <w:t xml:space="preserve">As required by law (in which case the Processor will inform the Controller unless prohibited).</w:t>
        <w:br w:type="textWrapping"/>
      </w:r>
    </w:p>
    <w:p w:rsidR="00000000" w:rsidDel="00000000" w:rsidP="00000000" w:rsidRDefault="00000000" w:rsidRPr="00000000" w14:paraId="0000001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C">
      <w:pPr>
        <w:pStyle w:val="Heading4"/>
        <w:keepNext w:val="0"/>
        <w:keepLines w:val="0"/>
        <w:spacing w:after="40" w:before="240" w:lineRule="auto"/>
        <w:rPr>
          <w:b w:val="1"/>
          <w:bCs w:val="1"/>
          <w:color w:val="000000"/>
          <w:sz w:val="22"/>
          <w:szCs w:val="22"/>
        </w:rPr>
      </w:pPr>
      <w:bookmarkStart w:colFirst="0" w:colLast="0" w:name="_4wful4lfohsh" w:id="4"/>
      <w:bookmarkEnd w:id="4"/>
      <w:r w:rsidDel="00000000" w:rsidR="00000000" w:rsidRPr="00000000">
        <w:rPr>
          <w:b w:val="1"/>
          <w:bCs w:val="1"/>
          <w:color w:val="000000"/>
          <w:sz w:val="22"/>
          <w:szCs w:val="22"/>
          <w:rtl w:val="0"/>
        </w:rPr>
        <w:t xml:space="preserve">4. Confidentiality</w:t>
      </w:r>
    </w:p>
    <w:p w:rsidR="00000000" w:rsidDel="00000000" w:rsidP="00000000" w:rsidRDefault="00000000" w:rsidRPr="00000000" w14:paraId="0000001D">
      <w:pPr>
        <w:spacing w:after="240" w:before="240" w:lineRule="auto"/>
        <w:rPr/>
      </w:pPr>
      <w:r w:rsidDel="00000000" w:rsidR="00000000" w:rsidRPr="00000000">
        <w:rPr>
          <w:rtl w:val="0"/>
        </w:rPr>
        <w:t xml:space="preserve">4.1 The Processor shall ensure that persons authorized to process personal data:</w:t>
      </w:r>
    </w:p>
    <w:p w:rsidR="00000000" w:rsidDel="00000000" w:rsidP="00000000" w:rsidRDefault="00000000" w:rsidRPr="00000000" w14:paraId="0000001E">
      <w:pPr>
        <w:numPr>
          <w:ilvl w:val="0"/>
          <w:numId w:val="4"/>
        </w:numPr>
        <w:spacing w:after="0" w:before="240" w:lineRule="auto"/>
        <w:ind w:left="720" w:hanging="360"/>
        <w:rPr/>
      </w:pPr>
      <w:r w:rsidDel="00000000" w:rsidR="00000000" w:rsidRPr="00000000">
        <w:rPr>
          <w:rtl w:val="0"/>
        </w:rPr>
        <w:t xml:space="preserve">Are subject to appropriate confidentiality obligations; and</w:t>
        <w:br w:type="textWrapping"/>
      </w:r>
    </w:p>
    <w:p w:rsidR="00000000" w:rsidDel="00000000" w:rsidP="00000000" w:rsidRDefault="00000000" w:rsidRPr="00000000" w14:paraId="0000001F">
      <w:pPr>
        <w:numPr>
          <w:ilvl w:val="0"/>
          <w:numId w:val="4"/>
        </w:numPr>
        <w:spacing w:after="240" w:before="0" w:lineRule="auto"/>
        <w:ind w:left="720" w:hanging="360"/>
        <w:rPr/>
      </w:pPr>
      <w:r w:rsidDel="00000000" w:rsidR="00000000" w:rsidRPr="00000000">
        <w:rPr>
          <w:rtl w:val="0"/>
        </w:rPr>
        <w:t xml:space="preserve">Receive appropriate training on data protection and security.</w:t>
        <w:br w:type="textWrapping"/>
      </w:r>
    </w:p>
    <w:p w:rsidR="00000000" w:rsidDel="00000000" w:rsidP="00000000" w:rsidRDefault="00000000" w:rsidRPr="00000000" w14:paraId="0000002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4"/>
        <w:keepNext w:val="0"/>
        <w:keepLines w:val="0"/>
        <w:spacing w:after="40" w:before="240" w:lineRule="auto"/>
        <w:rPr>
          <w:b w:val="1"/>
          <w:bCs w:val="1"/>
          <w:color w:val="000000"/>
          <w:sz w:val="22"/>
          <w:szCs w:val="22"/>
        </w:rPr>
      </w:pPr>
      <w:bookmarkStart w:colFirst="0" w:colLast="0" w:name="_fzjh8kduszsm" w:id="5"/>
      <w:bookmarkEnd w:id="5"/>
      <w:r w:rsidDel="00000000" w:rsidR="00000000" w:rsidRPr="00000000">
        <w:rPr>
          <w:b w:val="1"/>
          <w:bCs w:val="1"/>
          <w:color w:val="000000"/>
          <w:sz w:val="22"/>
          <w:szCs w:val="22"/>
          <w:rtl w:val="0"/>
        </w:rPr>
        <w:t xml:space="preserve">5. Security</w:t>
      </w:r>
    </w:p>
    <w:p w:rsidR="00000000" w:rsidDel="00000000" w:rsidP="00000000" w:rsidRDefault="00000000" w:rsidRPr="00000000" w14:paraId="00000022">
      <w:pPr>
        <w:spacing w:after="240" w:before="240" w:lineRule="auto"/>
        <w:rPr/>
      </w:pPr>
      <w:r w:rsidDel="00000000" w:rsidR="00000000" w:rsidRPr="00000000">
        <w:rPr>
          <w:rtl w:val="0"/>
        </w:rPr>
        <w:t xml:space="preserve">5.1 The Processor shall implement appropriate technical and organizational measures to protect personal data against unauthorized or unlawful processing, accidental loss, destruction, or damage, taking into account the nature of the processing and the risks.</w:t>
      </w:r>
    </w:p>
    <w:p w:rsidR="00000000" w:rsidDel="00000000" w:rsidP="00000000" w:rsidRDefault="00000000" w:rsidRPr="00000000" w14:paraId="00000023">
      <w:pPr>
        <w:spacing w:after="240" w:before="240" w:lineRule="auto"/>
        <w:rPr/>
      </w:pPr>
      <w:r w:rsidDel="00000000" w:rsidR="00000000" w:rsidRPr="00000000">
        <w:rPr>
          <w:rtl w:val="0"/>
        </w:rPr>
        <w:t xml:space="preserve">5.2 A high-level description of the League’s security measures is set out in the </w:t>
      </w:r>
      <w:r w:rsidDel="00000000" w:rsidR="00000000" w:rsidRPr="00000000">
        <w:rPr>
          <w:b w:val="1"/>
          <w:bCs w:val="1"/>
          <w:rtl w:val="0"/>
        </w:rPr>
        <w:t xml:space="preserve">Security Controls Overview</w:t>
      </w:r>
      <w:r w:rsidDel="00000000" w:rsidR="00000000" w:rsidRPr="00000000">
        <w:rPr>
          <w:rtl w:val="0"/>
        </w:rPr>
        <w:t xml:space="preserve">, which may be updated from time to time.</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4"/>
        <w:keepNext w:val="0"/>
        <w:keepLines w:val="0"/>
        <w:spacing w:after="40" w:before="240" w:lineRule="auto"/>
        <w:rPr>
          <w:b w:val="1"/>
          <w:bCs w:val="1"/>
          <w:color w:val="000000"/>
          <w:sz w:val="22"/>
          <w:szCs w:val="22"/>
        </w:rPr>
      </w:pPr>
      <w:bookmarkStart w:colFirst="0" w:colLast="0" w:name="_4yuewmeuco5t" w:id="6"/>
      <w:bookmarkEnd w:id="6"/>
      <w:r w:rsidDel="00000000" w:rsidR="00000000" w:rsidRPr="00000000">
        <w:rPr>
          <w:b w:val="1"/>
          <w:bCs w:val="1"/>
          <w:color w:val="000000"/>
          <w:sz w:val="22"/>
          <w:szCs w:val="22"/>
          <w:rtl w:val="0"/>
        </w:rPr>
        <w:t xml:space="preserve">6. Sub-Processors</w:t>
      </w:r>
    </w:p>
    <w:p w:rsidR="00000000" w:rsidDel="00000000" w:rsidP="00000000" w:rsidRDefault="00000000" w:rsidRPr="00000000" w14:paraId="00000026">
      <w:pPr>
        <w:spacing w:after="240" w:before="240" w:lineRule="auto"/>
        <w:rPr/>
      </w:pPr>
      <w:r w:rsidDel="00000000" w:rsidR="00000000" w:rsidRPr="00000000">
        <w:rPr>
          <w:rtl w:val="0"/>
        </w:rPr>
        <w:t xml:space="preserve">6.1 The Processor may engage sub-processors (e.g., cloud hosting providers or integrity analysis vendors) to assist with processing, provided that:</w:t>
      </w:r>
    </w:p>
    <w:p w:rsidR="00000000" w:rsidDel="00000000" w:rsidP="00000000" w:rsidRDefault="00000000" w:rsidRPr="00000000" w14:paraId="00000027">
      <w:pPr>
        <w:numPr>
          <w:ilvl w:val="0"/>
          <w:numId w:val="2"/>
        </w:numPr>
        <w:spacing w:after="0" w:before="240" w:lineRule="auto"/>
        <w:ind w:left="720" w:hanging="360"/>
        <w:rPr/>
      </w:pPr>
      <w:r w:rsidDel="00000000" w:rsidR="00000000" w:rsidRPr="00000000">
        <w:rPr>
          <w:rtl w:val="0"/>
        </w:rPr>
        <w:t xml:space="preserve">They are bound by written contracts with security and confidentiality obligations not less protective than those in this Addendum; and</w:t>
        <w:br w:type="textWrapping"/>
      </w:r>
    </w:p>
    <w:p w:rsidR="00000000" w:rsidDel="00000000" w:rsidP="00000000" w:rsidRDefault="00000000" w:rsidRPr="00000000" w14:paraId="00000028">
      <w:pPr>
        <w:numPr>
          <w:ilvl w:val="0"/>
          <w:numId w:val="2"/>
        </w:numPr>
        <w:spacing w:after="240" w:before="0" w:lineRule="auto"/>
        <w:ind w:left="720" w:hanging="360"/>
        <w:rPr/>
      </w:pPr>
      <w:r w:rsidDel="00000000" w:rsidR="00000000" w:rsidRPr="00000000">
        <w:rPr>
          <w:rtl w:val="0"/>
        </w:rPr>
        <w:t xml:space="preserve">The Processor remains liable for their actions.</w:t>
        <w:br w:type="textWrapping"/>
      </w:r>
    </w:p>
    <w:p w:rsidR="00000000" w:rsidDel="00000000" w:rsidP="00000000" w:rsidRDefault="00000000" w:rsidRPr="00000000" w14:paraId="00000029">
      <w:pPr>
        <w:spacing w:after="240" w:before="240" w:lineRule="auto"/>
        <w:rPr/>
      </w:pPr>
      <w:r w:rsidDel="00000000" w:rsidR="00000000" w:rsidRPr="00000000">
        <w:rPr>
          <w:rtl w:val="0"/>
        </w:rPr>
        <w:t xml:space="preserve">6.2 The Processor shall maintain a list of sub-processors involved in the relevant processing and make it available upon request.</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4"/>
        <w:keepNext w:val="0"/>
        <w:keepLines w:val="0"/>
        <w:spacing w:after="40" w:before="240" w:lineRule="auto"/>
        <w:rPr>
          <w:b w:val="1"/>
          <w:bCs w:val="1"/>
          <w:color w:val="000000"/>
          <w:sz w:val="22"/>
          <w:szCs w:val="22"/>
        </w:rPr>
      </w:pPr>
      <w:bookmarkStart w:colFirst="0" w:colLast="0" w:name="_h8s6hyn0tpk5" w:id="7"/>
      <w:bookmarkEnd w:id="7"/>
      <w:r w:rsidDel="00000000" w:rsidR="00000000" w:rsidRPr="00000000">
        <w:rPr>
          <w:b w:val="1"/>
          <w:bCs w:val="1"/>
          <w:color w:val="000000"/>
          <w:sz w:val="22"/>
          <w:szCs w:val="22"/>
          <w:rtl w:val="0"/>
        </w:rPr>
        <w:t xml:space="preserve">7. Data Subject Rights and Assistance</w:t>
      </w:r>
    </w:p>
    <w:p w:rsidR="00000000" w:rsidDel="00000000" w:rsidP="00000000" w:rsidRDefault="00000000" w:rsidRPr="00000000" w14:paraId="0000002C">
      <w:pPr>
        <w:spacing w:after="240" w:before="240" w:lineRule="auto"/>
        <w:rPr/>
      </w:pPr>
      <w:r w:rsidDel="00000000" w:rsidR="00000000" w:rsidRPr="00000000">
        <w:rPr>
          <w:rtl w:val="0"/>
        </w:rPr>
        <w:t xml:space="preserve">7.1 To the extent the Processor is reasonably able, it shall assist the Controller in fulfilling data subjects’ rights requests (access, rectification, deletion, etc.) and in complying with obligations relating to security incidents and impact assessments, as required by law.</w:t>
      </w:r>
    </w:p>
    <w:p w:rsidR="00000000" w:rsidDel="00000000" w:rsidP="00000000" w:rsidRDefault="00000000" w:rsidRPr="00000000" w14:paraId="0000002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pStyle w:val="Heading4"/>
        <w:keepNext w:val="0"/>
        <w:keepLines w:val="0"/>
        <w:spacing w:after="40" w:before="240" w:lineRule="auto"/>
        <w:rPr>
          <w:b w:val="1"/>
          <w:bCs w:val="1"/>
          <w:color w:val="000000"/>
          <w:sz w:val="22"/>
          <w:szCs w:val="22"/>
        </w:rPr>
      </w:pPr>
      <w:bookmarkStart w:colFirst="0" w:colLast="0" w:name="_92v2wtuwots4" w:id="8"/>
      <w:bookmarkEnd w:id="8"/>
      <w:r w:rsidDel="00000000" w:rsidR="00000000" w:rsidRPr="00000000">
        <w:rPr>
          <w:b w:val="1"/>
          <w:bCs w:val="1"/>
          <w:color w:val="000000"/>
          <w:sz w:val="22"/>
          <w:szCs w:val="22"/>
          <w:rtl w:val="0"/>
        </w:rPr>
        <w:t xml:space="preserve">8. International Transfers</w:t>
      </w:r>
    </w:p>
    <w:p w:rsidR="00000000" w:rsidDel="00000000" w:rsidP="00000000" w:rsidRDefault="00000000" w:rsidRPr="00000000" w14:paraId="0000002F">
      <w:pPr>
        <w:spacing w:after="240" w:before="240" w:lineRule="auto"/>
        <w:rPr/>
      </w:pPr>
      <w:r w:rsidDel="00000000" w:rsidR="00000000" w:rsidRPr="00000000">
        <w:rPr>
          <w:rtl w:val="0"/>
        </w:rPr>
        <w:t xml:space="preserve">8.1 Where the Processor transfers personal data internationally on behalf of the Controller, it shall implement appropriate safeguards required by applicable law (e.g., standard contractual clauses or equivalent mechanisms).</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4"/>
        <w:keepNext w:val="0"/>
        <w:keepLines w:val="0"/>
        <w:spacing w:after="40" w:before="240" w:lineRule="auto"/>
        <w:rPr>
          <w:b w:val="1"/>
          <w:bCs w:val="1"/>
          <w:color w:val="000000"/>
          <w:sz w:val="22"/>
          <w:szCs w:val="22"/>
        </w:rPr>
      </w:pPr>
      <w:bookmarkStart w:colFirst="0" w:colLast="0" w:name="_bp7bk4hjbqj0" w:id="9"/>
      <w:bookmarkEnd w:id="9"/>
      <w:r w:rsidDel="00000000" w:rsidR="00000000" w:rsidRPr="00000000">
        <w:rPr>
          <w:b w:val="1"/>
          <w:bCs w:val="1"/>
          <w:color w:val="000000"/>
          <w:sz w:val="22"/>
          <w:szCs w:val="22"/>
          <w:rtl w:val="0"/>
        </w:rPr>
        <w:t xml:space="preserve">9. Audit and Information</w:t>
      </w:r>
    </w:p>
    <w:p w:rsidR="00000000" w:rsidDel="00000000" w:rsidP="00000000" w:rsidRDefault="00000000" w:rsidRPr="00000000" w14:paraId="00000032">
      <w:pPr>
        <w:spacing w:after="240" w:before="240" w:lineRule="auto"/>
        <w:rPr/>
      </w:pPr>
      <w:r w:rsidDel="00000000" w:rsidR="00000000" w:rsidRPr="00000000">
        <w:rPr>
          <w:rtl w:val="0"/>
        </w:rPr>
        <w:t xml:space="preserve">9.1 On reasonable notice, the Processor shall provide the Controller with information necessary to demonstrate compliance with this Addendum and applicable data protection laws.</w:t>
      </w:r>
    </w:p>
    <w:p w:rsidR="00000000" w:rsidDel="00000000" w:rsidP="00000000" w:rsidRDefault="00000000" w:rsidRPr="00000000" w14:paraId="00000033">
      <w:pPr>
        <w:spacing w:after="240" w:before="240" w:lineRule="auto"/>
        <w:rPr/>
      </w:pPr>
      <w:r w:rsidDel="00000000" w:rsidR="00000000" w:rsidRPr="00000000">
        <w:rPr>
          <w:rtl w:val="0"/>
        </w:rPr>
        <w:t xml:space="preserve">9.2 Where allowed by law and agreed by the Parties, audits may be carried out by the Controller or a mutually agreed independent auditor, subject to reasonable confidentiality and operational constraints.</w:t>
      </w:r>
    </w:p>
    <w:p w:rsidR="00000000" w:rsidDel="00000000" w:rsidP="00000000" w:rsidRDefault="00000000" w:rsidRPr="00000000" w14:paraId="0000003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pStyle w:val="Heading4"/>
        <w:keepNext w:val="0"/>
        <w:keepLines w:val="0"/>
        <w:spacing w:after="40" w:before="240" w:lineRule="auto"/>
        <w:rPr>
          <w:b w:val="1"/>
          <w:bCs w:val="1"/>
          <w:color w:val="000000"/>
          <w:sz w:val="22"/>
          <w:szCs w:val="22"/>
        </w:rPr>
      </w:pPr>
      <w:bookmarkStart w:colFirst="0" w:colLast="0" w:name="_6xhkzu2g52pk" w:id="10"/>
      <w:bookmarkEnd w:id="10"/>
      <w:r w:rsidDel="00000000" w:rsidR="00000000" w:rsidRPr="00000000">
        <w:rPr>
          <w:b w:val="1"/>
          <w:bCs w:val="1"/>
          <w:color w:val="000000"/>
          <w:sz w:val="22"/>
          <w:szCs w:val="22"/>
          <w:rtl w:val="0"/>
        </w:rPr>
        <w:t xml:space="preserve">10. Return and Deletion</w:t>
      </w:r>
    </w:p>
    <w:p w:rsidR="00000000" w:rsidDel="00000000" w:rsidP="00000000" w:rsidRDefault="00000000" w:rsidRPr="00000000" w14:paraId="00000036">
      <w:pPr>
        <w:spacing w:after="240" w:before="240" w:lineRule="auto"/>
        <w:rPr/>
      </w:pPr>
      <w:r w:rsidDel="00000000" w:rsidR="00000000" w:rsidRPr="00000000">
        <w:rPr>
          <w:rtl w:val="0"/>
        </w:rPr>
        <w:t xml:space="preserve">10.1 Upon termination or expiry of the Agreement, the Processor shall, at the Controller’s choice and subject to legal retention requirements:</w:t>
      </w:r>
    </w:p>
    <w:p w:rsidR="00000000" w:rsidDel="00000000" w:rsidP="00000000" w:rsidRDefault="00000000" w:rsidRPr="00000000" w14:paraId="00000037">
      <w:pPr>
        <w:numPr>
          <w:ilvl w:val="0"/>
          <w:numId w:val="3"/>
        </w:numPr>
        <w:spacing w:after="0" w:before="240" w:lineRule="auto"/>
        <w:ind w:left="720" w:hanging="360"/>
        <w:rPr/>
      </w:pPr>
      <w:r w:rsidDel="00000000" w:rsidR="00000000" w:rsidRPr="00000000">
        <w:rPr>
          <w:rtl w:val="0"/>
        </w:rPr>
        <w:t xml:space="preserve">Return all personal data to the Controller; and/or</w:t>
        <w:br w:type="textWrapping"/>
      </w:r>
    </w:p>
    <w:p w:rsidR="00000000" w:rsidDel="00000000" w:rsidP="00000000" w:rsidRDefault="00000000" w:rsidRPr="00000000" w14:paraId="00000038">
      <w:pPr>
        <w:numPr>
          <w:ilvl w:val="0"/>
          <w:numId w:val="3"/>
        </w:numPr>
        <w:spacing w:after="240" w:before="0" w:lineRule="auto"/>
        <w:ind w:left="720" w:hanging="360"/>
        <w:rPr/>
      </w:pPr>
      <w:r w:rsidDel="00000000" w:rsidR="00000000" w:rsidRPr="00000000">
        <w:rPr>
          <w:rtl w:val="0"/>
        </w:rPr>
        <w:t xml:space="preserve">Delete or irreversibly anonymize personal data in its possession.</w:t>
        <w:br w:type="textWrapping"/>
      </w:r>
    </w:p>
    <w:p w:rsidR="00000000" w:rsidDel="00000000" w:rsidP="00000000" w:rsidRDefault="00000000" w:rsidRPr="00000000" w14:paraId="0000003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4"/>
        <w:keepNext w:val="0"/>
        <w:keepLines w:val="0"/>
        <w:spacing w:after="40" w:before="240" w:lineRule="auto"/>
        <w:rPr>
          <w:b w:val="1"/>
          <w:bCs w:val="1"/>
          <w:color w:val="000000"/>
          <w:sz w:val="22"/>
          <w:szCs w:val="22"/>
        </w:rPr>
      </w:pPr>
      <w:bookmarkStart w:colFirst="0" w:colLast="0" w:name="_kf0657j22u64" w:id="11"/>
      <w:bookmarkEnd w:id="11"/>
      <w:r w:rsidDel="00000000" w:rsidR="00000000" w:rsidRPr="00000000">
        <w:rPr>
          <w:b w:val="1"/>
          <w:bCs w:val="1"/>
          <w:color w:val="000000"/>
          <w:sz w:val="22"/>
          <w:szCs w:val="22"/>
          <w:rtl w:val="0"/>
        </w:rPr>
        <w:t xml:space="preserve">11. Precedence</w:t>
      </w:r>
    </w:p>
    <w:p w:rsidR="00000000" w:rsidDel="00000000" w:rsidP="00000000" w:rsidRDefault="00000000" w:rsidRPr="00000000" w14:paraId="0000003B">
      <w:pPr>
        <w:spacing w:after="240" w:before="240" w:lineRule="auto"/>
        <w:rPr/>
      </w:pPr>
      <w:r w:rsidDel="00000000" w:rsidR="00000000" w:rsidRPr="00000000">
        <w:rPr>
          <w:rtl w:val="0"/>
        </w:rPr>
        <w:t xml:space="preserve">11.1 In case of conflict between this Addendum and the Agreement regarding data protection, this Addendum shall prevail.</w:t>
      </w:r>
    </w:p>
    <w:p w:rsidR="00000000" w:rsidDel="00000000" w:rsidP="00000000" w:rsidRDefault="00000000" w:rsidRPr="00000000" w14:paraId="0000003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